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B12C0C" w:rsidRPr="00E37E9A" w14:paraId="7CBA5BAE" w14:textId="77777777" w:rsidTr="00AA1C5F">
        <w:tc>
          <w:tcPr>
            <w:tcW w:w="9350" w:type="dxa"/>
            <w:tcBorders>
              <w:bottom w:val="single" w:sz="4" w:space="0" w:color="auto"/>
            </w:tcBorders>
            <w:shd w:val="clear" w:color="auto" w:fill="3C8498"/>
          </w:tcPr>
          <w:p w14:paraId="72388104" w14:textId="77777777" w:rsidR="00B12C0C" w:rsidRPr="00301795" w:rsidRDefault="00B12C0C" w:rsidP="00301795">
            <w:pPr>
              <w:pStyle w:val="ListParagraph"/>
              <w:numPr>
                <w:ilvl w:val="0"/>
                <w:numId w:val="1"/>
              </w:numPr>
              <w:spacing w:after="0" w:line="240" w:lineRule="auto"/>
              <w:rPr>
                <w:rFonts w:ascii="Franklin Gothic Book" w:hAnsi="Franklin Gothic Book"/>
              </w:rPr>
            </w:pPr>
            <w:bookmarkStart w:id="0" w:name="_GoBack"/>
            <w:r w:rsidRPr="00301795">
              <w:rPr>
                <w:rFonts w:ascii="Franklin Gothic Book" w:hAnsi="Franklin Gothic Book"/>
              </w:rPr>
              <w:t>PATIENT CARE</w:t>
            </w:r>
          </w:p>
        </w:tc>
      </w:tr>
      <w:bookmarkEnd w:id="0"/>
      <w:tr w:rsidR="00B12C0C" w:rsidRPr="00D77324" w14:paraId="2A2BB617" w14:textId="77777777" w:rsidTr="00AA1C5F">
        <w:tc>
          <w:tcPr>
            <w:tcW w:w="9350" w:type="dxa"/>
            <w:tcBorders>
              <w:bottom w:val="nil"/>
            </w:tcBorders>
          </w:tcPr>
          <w:p w14:paraId="145C0B57" w14:textId="77777777" w:rsidR="00B12C0C" w:rsidRPr="00301795" w:rsidRDefault="00B12C0C" w:rsidP="00301795">
            <w:pPr>
              <w:pStyle w:val="ListParagraph"/>
              <w:numPr>
                <w:ilvl w:val="0"/>
                <w:numId w:val="1"/>
              </w:numPr>
              <w:spacing w:after="0" w:line="240" w:lineRule="auto"/>
              <w:rPr>
                <w:rFonts w:ascii="Franklin Gothic Book" w:hAnsi="Franklin Gothic Book"/>
              </w:rPr>
            </w:pPr>
            <w:r w:rsidRPr="00301795">
              <w:rPr>
                <w:rFonts w:ascii="Franklin Gothic Book" w:hAnsi="Franklin Gothic Book"/>
              </w:rPr>
              <w:t>Interview patients and families about the particulars of the medical condition for which they seek care, with specific attention to behavioral, psychosocial, environmental, and family unit correlates of disease [IV.A.5.a</w:t>
            </w:r>
            <w:proofErr w:type="gramStart"/>
            <w:r w:rsidRPr="00301795">
              <w:rPr>
                <w:rFonts w:ascii="Franklin Gothic Book" w:hAnsi="Franklin Gothic Book"/>
              </w:rPr>
              <w:t>).(</w:t>
            </w:r>
            <w:proofErr w:type="gramEnd"/>
            <w:r w:rsidRPr="00301795">
              <w:rPr>
                <w:rFonts w:ascii="Franklin Gothic Book" w:hAnsi="Franklin Gothic Book"/>
              </w:rPr>
              <w:t>1).(d)]:</w:t>
            </w:r>
          </w:p>
        </w:tc>
      </w:tr>
      <w:tr w:rsidR="00B12C0C" w:rsidRPr="00D77324" w14:paraId="1149AEF0" w14:textId="77777777" w:rsidTr="00AA1C5F">
        <w:tc>
          <w:tcPr>
            <w:tcW w:w="9350" w:type="dxa"/>
            <w:tcBorders>
              <w:top w:val="nil"/>
            </w:tcBorders>
          </w:tcPr>
          <w:p w14:paraId="69F54DA5" w14:textId="77777777" w:rsidR="00B12C0C" w:rsidRPr="00F96C77" w:rsidRDefault="00B12C0C" w:rsidP="00B12C0C">
            <w:pPr>
              <w:pStyle w:val="ListParagraph"/>
              <w:numPr>
                <w:ilvl w:val="0"/>
                <w:numId w:val="1"/>
              </w:numPr>
              <w:spacing w:after="0" w:line="240" w:lineRule="auto"/>
              <w:rPr>
                <w:rFonts w:ascii="Franklin Gothic Book" w:hAnsi="Franklin Gothic Book"/>
              </w:rPr>
            </w:pPr>
            <w:r w:rsidRPr="00F96C77">
              <w:rPr>
                <w:rFonts w:ascii="Franklin Gothic Book" w:hAnsi="Franklin Gothic Book"/>
              </w:rPr>
              <w:t>Analyze the impact of environmental factors such as clean water, sanitation, air quality, pollution, climate change, overcrowding, and natural disasters on child health and apply this knowledge to the interviews of patients and families who seek care in your practice.</w:t>
            </w:r>
          </w:p>
          <w:p w14:paraId="02B0A31D" w14:textId="77777777" w:rsidR="00B12C0C" w:rsidRPr="00F96C77" w:rsidRDefault="00B12C0C" w:rsidP="00B12C0C">
            <w:pPr>
              <w:pStyle w:val="ListParagraph"/>
              <w:numPr>
                <w:ilvl w:val="0"/>
                <w:numId w:val="1"/>
              </w:numPr>
              <w:spacing w:after="0" w:line="240" w:lineRule="auto"/>
              <w:rPr>
                <w:rFonts w:ascii="Franklin Gothic Book" w:hAnsi="Franklin Gothic Book"/>
              </w:rPr>
            </w:pPr>
            <w:r w:rsidRPr="00F96C77">
              <w:rPr>
                <w:rFonts w:ascii="Franklin Gothic Book" w:hAnsi="Franklin Gothic Book"/>
              </w:rPr>
              <w:t xml:space="preserve">Reflect on and describe how fragmented family units contribute to health and illness, particularly </w:t>
            </w:r>
            <w:r>
              <w:rPr>
                <w:rFonts w:ascii="Franklin Gothic Book" w:hAnsi="Franklin Gothic Book"/>
              </w:rPr>
              <w:t>in relation</w:t>
            </w:r>
            <w:r w:rsidRPr="00F96C77">
              <w:rPr>
                <w:rFonts w:ascii="Franklin Gothic Book" w:hAnsi="Franklin Gothic Book"/>
              </w:rPr>
              <w:t xml:space="preserve"> to immigrant and refugee children and adoptees that are separated from their biological parents</w:t>
            </w:r>
            <w:r>
              <w:rPr>
                <w:rFonts w:ascii="Franklin Gothic Book" w:hAnsi="Franklin Gothic Book"/>
              </w:rPr>
              <w:t xml:space="preserve"> and</w:t>
            </w:r>
            <w:r w:rsidRPr="00F96C77">
              <w:rPr>
                <w:rFonts w:ascii="Franklin Gothic Book" w:hAnsi="Franklin Gothic Book"/>
              </w:rPr>
              <w:t xml:space="preserve"> explore pertinent questions regarding primary caretakers and relationships among those who form the family unit.</w:t>
            </w:r>
          </w:p>
          <w:p w14:paraId="4D6E3FCA" w14:textId="77777777" w:rsidR="00B12C0C" w:rsidRPr="00F96C77" w:rsidRDefault="00B12C0C" w:rsidP="00B12C0C">
            <w:pPr>
              <w:pStyle w:val="ListParagraph"/>
              <w:numPr>
                <w:ilvl w:val="0"/>
                <w:numId w:val="1"/>
              </w:numPr>
              <w:spacing w:after="0" w:line="240" w:lineRule="auto"/>
              <w:rPr>
                <w:rFonts w:ascii="Franklin Gothic Book" w:hAnsi="Franklin Gothic Book"/>
              </w:rPr>
            </w:pPr>
            <w:r w:rsidRPr="00F96C77">
              <w:rPr>
                <w:rFonts w:ascii="Franklin Gothic Book" w:hAnsi="Franklin Gothic Book"/>
              </w:rPr>
              <w:t xml:space="preserve">Perform essential components of a history and physical </w:t>
            </w:r>
            <w:r>
              <w:rPr>
                <w:rFonts w:ascii="Franklin Gothic Book" w:hAnsi="Franklin Gothic Book"/>
              </w:rPr>
              <w:t xml:space="preserve">examination </w:t>
            </w:r>
            <w:r w:rsidRPr="00F96C77">
              <w:rPr>
                <w:rFonts w:ascii="Franklin Gothic Book" w:hAnsi="Franklin Gothic Book"/>
              </w:rPr>
              <w:t>for children with immigrant or refugee status (including utilization of trauma-informed care) and identify unique considerations for providing a medical home for these children.</w:t>
            </w:r>
          </w:p>
          <w:p w14:paraId="19920154" w14:textId="77777777" w:rsidR="00B12C0C" w:rsidRPr="00F96C77" w:rsidRDefault="00B12C0C" w:rsidP="00B12C0C">
            <w:pPr>
              <w:pStyle w:val="ListParagraph"/>
              <w:numPr>
                <w:ilvl w:val="0"/>
                <w:numId w:val="1"/>
              </w:numPr>
              <w:spacing w:after="0" w:line="240" w:lineRule="auto"/>
              <w:rPr>
                <w:rFonts w:ascii="Franklin Gothic Book" w:hAnsi="Franklin Gothic Book"/>
              </w:rPr>
            </w:pPr>
            <w:r w:rsidRPr="00F96C77">
              <w:rPr>
                <w:rFonts w:ascii="Franklin Gothic Book" w:hAnsi="Franklin Gothic Book"/>
              </w:rPr>
              <w:t>Explain essential components of a comprehensive evaluation of a child/youth traveling internationally.</w:t>
            </w:r>
          </w:p>
        </w:tc>
      </w:tr>
      <w:tr w:rsidR="00B12C0C" w:rsidRPr="00E37E9A" w14:paraId="7F9C08B6" w14:textId="77777777" w:rsidTr="00AA1C5F">
        <w:tc>
          <w:tcPr>
            <w:tcW w:w="9350" w:type="dxa"/>
            <w:tcBorders>
              <w:bottom w:val="single" w:sz="4" w:space="0" w:color="auto"/>
            </w:tcBorders>
            <w:shd w:val="clear" w:color="auto" w:fill="3C8498"/>
          </w:tcPr>
          <w:p w14:paraId="52C8E23C" w14:textId="77777777" w:rsidR="00B12C0C" w:rsidRPr="00301795" w:rsidRDefault="00B12C0C" w:rsidP="00301795">
            <w:pPr>
              <w:pStyle w:val="ListParagraph"/>
              <w:numPr>
                <w:ilvl w:val="0"/>
                <w:numId w:val="1"/>
              </w:numPr>
              <w:spacing w:after="0" w:line="240" w:lineRule="auto"/>
              <w:rPr>
                <w:rFonts w:ascii="Franklin Gothic Book" w:hAnsi="Franklin Gothic Book"/>
              </w:rPr>
            </w:pPr>
            <w:r w:rsidRPr="00301795">
              <w:rPr>
                <w:rFonts w:ascii="Franklin Gothic Book" w:hAnsi="Franklin Gothic Book"/>
              </w:rPr>
              <w:t>MEDICAL KNOWLEDGE</w:t>
            </w:r>
            <w:r w:rsidRPr="00301795">
              <w:rPr>
                <w:rFonts w:ascii="Franklin Gothic Book" w:hAnsi="Franklin Gothic Book"/>
              </w:rPr>
              <w:tab/>
            </w:r>
          </w:p>
        </w:tc>
      </w:tr>
      <w:tr w:rsidR="00B12C0C" w:rsidRPr="00D77324" w14:paraId="4CFF0354" w14:textId="77777777" w:rsidTr="00AA1C5F">
        <w:tc>
          <w:tcPr>
            <w:tcW w:w="9350" w:type="dxa"/>
            <w:tcBorders>
              <w:bottom w:val="nil"/>
            </w:tcBorders>
          </w:tcPr>
          <w:p w14:paraId="2007240E" w14:textId="77777777" w:rsidR="00B12C0C" w:rsidRPr="00301795" w:rsidRDefault="00B12C0C" w:rsidP="00301795">
            <w:pPr>
              <w:pStyle w:val="ListParagraph"/>
              <w:numPr>
                <w:ilvl w:val="0"/>
                <w:numId w:val="1"/>
              </w:numPr>
              <w:spacing w:after="0" w:line="240" w:lineRule="auto"/>
              <w:rPr>
                <w:rFonts w:ascii="Franklin Gothic Book" w:hAnsi="Franklin Gothic Book"/>
              </w:rPr>
            </w:pPr>
            <w:r w:rsidRPr="00301795">
              <w:rPr>
                <w:rFonts w:ascii="Franklin Gothic Book" w:hAnsi="Franklin Gothic Book"/>
              </w:rPr>
              <w:t>Demonstrate knowledge of established and evolving biomedical, clinical, epidemiological, and social-behavioral sciences, as well as the application of this knowledge to patient care [IV.A.5.b)]:</w:t>
            </w:r>
          </w:p>
        </w:tc>
      </w:tr>
      <w:tr w:rsidR="00B12C0C" w:rsidRPr="00D77324" w14:paraId="2BBB48CC" w14:textId="77777777" w:rsidTr="00AA1C5F">
        <w:tc>
          <w:tcPr>
            <w:tcW w:w="9350" w:type="dxa"/>
            <w:tcBorders>
              <w:top w:val="nil"/>
            </w:tcBorders>
          </w:tcPr>
          <w:p w14:paraId="6E2F89FA" w14:textId="77777777" w:rsidR="00B12C0C" w:rsidRPr="00F96C77" w:rsidRDefault="00B12C0C" w:rsidP="00301795">
            <w:pPr>
              <w:pStyle w:val="ListParagraph"/>
              <w:numPr>
                <w:ilvl w:val="0"/>
                <w:numId w:val="1"/>
              </w:numPr>
              <w:spacing w:after="0" w:line="240" w:lineRule="auto"/>
              <w:rPr>
                <w:rFonts w:ascii="Franklin Gothic Book" w:hAnsi="Franklin Gothic Book"/>
              </w:rPr>
            </w:pPr>
            <w:r w:rsidRPr="00F96C77">
              <w:rPr>
                <w:rFonts w:ascii="Franklin Gothic Book" w:hAnsi="Franklin Gothic Book"/>
              </w:rPr>
              <w:t>List the top causes of neonatal, infant, child, and adolescent morbidity and mortality for low</w:t>
            </w:r>
            <w:r>
              <w:rPr>
                <w:rFonts w:ascii="Franklin Gothic Book" w:hAnsi="Franklin Gothic Book"/>
              </w:rPr>
              <w:t xml:space="preserve">- </w:t>
            </w:r>
            <w:r w:rsidRPr="00F96C77">
              <w:rPr>
                <w:rFonts w:ascii="Franklin Gothic Book" w:hAnsi="Franklin Gothic Book"/>
              </w:rPr>
              <w:t>and middle-income countries (LMIC) and high-income countries (HIC) and discuss why these lists may differ.</w:t>
            </w:r>
          </w:p>
          <w:p w14:paraId="30CD1B35" w14:textId="77777777" w:rsidR="00B12C0C" w:rsidRPr="00F96C77" w:rsidRDefault="00B12C0C" w:rsidP="00301795">
            <w:pPr>
              <w:pStyle w:val="ListParagraph"/>
              <w:numPr>
                <w:ilvl w:val="0"/>
                <w:numId w:val="1"/>
              </w:numPr>
              <w:spacing w:after="0" w:line="240" w:lineRule="auto"/>
              <w:rPr>
                <w:rFonts w:ascii="Franklin Gothic Book" w:hAnsi="Franklin Gothic Book"/>
              </w:rPr>
            </w:pPr>
            <w:r w:rsidRPr="00F96C77">
              <w:rPr>
                <w:rFonts w:ascii="Franklin Gothic Book" w:hAnsi="Franklin Gothic Book"/>
              </w:rPr>
              <w:t xml:space="preserve">Describe and interpret the </w:t>
            </w:r>
            <w:r>
              <w:rPr>
                <w:rFonts w:ascii="Franklin Gothic Book" w:hAnsi="Franklin Gothic Book"/>
              </w:rPr>
              <w:t>following core health indicators: neonatal m</w:t>
            </w:r>
            <w:r w:rsidRPr="00F96C77">
              <w:rPr>
                <w:rFonts w:ascii="Franklin Gothic Book" w:hAnsi="Franklin Gothic Book"/>
              </w:rPr>
              <w:t xml:space="preserve">ortality </w:t>
            </w:r>
            <w:r>
              <w:rPr>
                <w:rFonts w:ascii="Franklin Gothic Book" w:hAnsi="Franklin Gothic Book"/>
              </w:rPr>
              <w:t>r</w:t>
            </w:r>
            <w:r w:rsidRPr="00F96C77">
              <w:rPr>
                <w:rFonts w:ascii="Franklin Gothic Book" w:hAnsi="Franklin Gothic Book"/>
              </w:rPr>
              <w:t xml:space="preserve">ate, </w:t>
            </w:r>
            <w:r>
              <w:rPr>
                <w:rFonts w:ascii="Franklin Gothic Book" w:hAnsi="Franklin Gothic Book"/>
              </w:rPr>
              <w:t>m</w:t>
            </w:r>
            <w:r w:rsidRPr="00F96C77">
              <w:rPr>
                <w:rFonts w:ascii="Franklin Gothic Book" w:hAnsi="Franklin Gothic Book"/>
              </w:rPr>
              <w:t xml:space="preserve">aternal </w:t>
            </w:r>
            <w:r>
              <w:rPr>
                <w:rFonts w:ascii="Franklin Gothic Book" w:hAnsi="Franklin Gothic Book"/>
              </w:rPr>
              <w:t>m</w:t>
            </w:r>
            <w:r w:rsidRPr="00F96C77">
              <w:rPr>
                <w:rFonts w:ascii="Franklin Gothic Book" w:hAnsi="Franklin Gothic Book"/>
              </w:rPr>
              <w:t xml:space="preserve">ortality </w:t>
            </w:r>
            <w:r>
              <w:rPr>
                <w:rFonts w:ascii="Franklin Gothic Book" w:hAnsi="Franklin Gothic Book"/>
              </w:rPr>
              <w:t>r</w:t>
            </w:r>
            <w:r w:rsidRPr="00F96C77">
              <w:rPr>
                <w:rFonts w:ascii="Franklin Gothic Book" w:hAnsi="Franklin Gothic Book"/>
              </w:rPr>
              <w:t xml:space="preserve">ate, </w:t>
            </w:r>
            <w:r>
              <w:rPr>
                <w:rFonts w:ascii="Franklin Gothic Book" w:hAnsi="Franklin Gothic Book"/>
              </w:rPr>
              <w:t>i</w:t>
            </w:r>
            <w:r w:rsidRPr="00F96C77">
              <w:rPr>
                <w:rFonts w:ascii="Franklin Gothic Book" w:hAnsi="Franklin Gothic Book"/>
              </w:rPr>
              <w:t xml:space="preserve">nfant </w:t>
            </w:r>
            <w:r>
              <w:rPr>
                <w:rFonts w:ascii="Franklin Gothic Book" w:hAnsi="Franklin Gothic Book"/>
              </w:rPr>
              <w:t>m</w:t>
            </w:r>
            <w:r w:rsidRPr="00F96C77">
              <w:rPr>
                <w:rFonts w:ascii="Franklin Gothic Book" w:hAnsi="Franklin Gothic Book"/>
              </w:rPr>
              <w:t xml:space="preserve">ortality </w:t>
            </w:r>
            <w:r>
              <w:rPr>
                <w:rFonts w:ascii="Franklin Gothic Book" w:hAnsi="Franklin Gothic Book"/>
              </w:rPr>
              <w:t>r</w:t>
            </w:r>
            <w:r w:rsidRPr="00F96C77">
              <w:rPr>
                <w:rFonts w:ascii="Franklin Gothic Book" w:hAnsi="Franklin Gothic Book"/>
              </w:rPr>
              <w:t>ate,</w:t>
            </w:r>
            <w:r>
              <w:rPr>
                <w:rFonts w:ascii="Franklin Gothic Book" w:hAnsi="Franklin Gothic Book"/>
              </w:rPr>
              <w:t xml:space="preserve"> and under-five mortality rate. C</w:t>
            </w:r>
            <w:r w:rsidRPr="00F96C77">
              <w:rPr>
                <w:rFonts w:ascii="Franklin Gothic Book" w:hAnsi="Franklin Gothic Book"/>
              </w:rPr>
              <w:t xml:space="preserve">ompare the differences </w:t>
            </w:r>
            <w:r>
              <w:rPr>
                <w:rFonts w:ascii="Franklin Gothic Book" w:hAnsi="Franklin Gothic Book"/>
              </w:rPr>
              <w:t xml:space="preserve">in these core health indicators </w:t>
            </w:r>
            <w:r w:rsidRPr="00F96C77">
              <w:rPr>
                <w:rFonts w:ascii="Franklin Gothic Book" w:hAnsi="Franklin Gothic Book"/>
              </w:rPr>
              <w:t>between LMIC</w:t>
            </w:r>
            <w:r>
              <w:rPr>
                <w:rFonts w:ascii="Franklin Gothic Book" w:hAnsi="Franklin Gothic Book"/>
              </w:rPr>
              <w:t>s</w:t>
            </w:r>
            <w:r w:rsidRPr="00F96C77">
              <w:rPr>
                <w:rFonts w:ascii="Franklin Gothic Book" w:hAnsi="Franklin Gothic Book"/>
              </w:rPr>
              <w:t xml:space="preserve"> and HIC</w:t>
            </w:r>
            <w:r>
              <w:rPr>
                <w:rFonts w:ascii="Franklin Gothic Book" w:hAnsi="Franklin Gothic Book"/>
              </w:rPr>
              <w:t>s</w:t>
            </w:r>
            <w:r w:rsidRPr="00F96C77">
              <w:rPr>
                <w:rFonts w:ascii="Franklin Gothic Book" w:hAnsi="Franklin Gothic Book"/>
              </w:rPr>
              <w:t>.</w:t>
            </w:r>
          </w:p>
          <w:p w14:paraId="47997C92" w14:textId="77777777" w:rsidR="00B12C0C" w:rsidRPr="00F96C77" w:rsidRDefault="00B12C0C" w:rsidP="00301795">
            <w:pPr>
              <w:pStyle w:val="ListParagraph"/>
              <w:numPr>
                <w:ilvl w:val="0"/>
                <w:numId w:val="1"/>
              </w:numPr>
              <w:spacing w:after="0" w:line="240" w:lineRule="auto"/>
              <w:rPr>
                <w:rFonts w:ascii="Franklin Gothic Book" w:hAnsi="Franklin Gothic Book"/>
              </w:rPr>
            </w:pPr>
            <w:r w:rsidRPr="00F96C77">
              <w:rPr>
                <w:rFonts w:ascii="Franklin Gothic Book" w:hAnsi="Franklin Gothic Book"/>
              </w:rPr>
              <w:t>Summarize the presentation, diagnosis, management</w:t>
            </w:r>
            <w:r>
              <w:rPr>
                <w:rFonts w:ascii="Franklin Gothic Book" w:hAnsi="Franklin Gothic Book"/>
              </w:rPr>
              <w:t>,</w:t>
            </w:r>
            <w:r w:rsidRPr="00F96C77">
              <w:rPr>
                <w:rFonts w:ascii="Franklin Gothic Book" w:hAnsi="Franklin Gothic Book"/>
              </w:rPr>
              <w:t xml:space="preserve"> and prevention of global infectious (</w:t>
            </w:r>
            <w:proofErr w:type="spellStart"/>
            <w:r w:rsidRPr="00F96C77">
              <w:rPr>
                <w:rFonts w:ascii="Franklin Gothic Book" w:hAnsi="Franklin Gothic Book"/>
              </w:rPr>
              <w:t>eg</w:t>
            </w:r>
            <w:proofErr w:type="spellEnd"/>
            <w:r w:rsidRPr="00F96C77">
              <w:rPr>
                <w:rFonts w:ascii="Franklin Gothic Book" w:hAnsi="Franklin Gothic Book"/>
              </w:rPr>
              <w:t xml:space="preserve">, malaria, </w:t>
            </w:r>
            <w:r>
              <w:rPr>
                <w:rFonts w:ascii="Franklin Gothic Book" w:hAnsi="Franklin Gothic Book"/>
              </w:rPr>
              <w:t>TB</w:t>
            </w:r>
            <w:r w:rsidRPr="00F96C77">
              <w:rPr>
                <w:rFonts w:ascii="Franklin Gothic Book" w:hAnsi="Franklin Gothic Book"/>
              </w:rPr>
              <w:t>, HIV/AIDS, diarrheal disease) and noninfectious (</w:t>
            </w:r>
            <w:proofErr w:type="spellStart"/>
            <w:r w:rsidRPr="00F96C77">
              <w:rPr>
                <w:rFonts w:ascii="Franklin Gothic Book" w:hAnsi="Franklin Gothic Book"/>
              </w:rPr>
              <w:t>eg</w:t>
            </w:r>
            <w:proofErr w:type="spellEnd"/>
            <w:r w:rsidRPr="00F96C77">
              <w:rPr>
                <w:rFonts w:ascii="Franklin Gothic Book" w:hAnsi="Franklin Gothic Book"/>
              </w:rPr>
              <w:t>, prematurity, birth asphyxia, anemia, pneumonia, malnutrition, obesity, stunting, trauma, mental health) causes of child and adolescent morbidity and mortality.</w:t>
            </w:r>
          </w:p>
          <w:p w14:paraId="664CCF58" w14:textId="77777777" w:rsidR="00B12C0C" w:rsidRPr="00F96C77" w:rsidRDefault="00B12C0C" w:rsidP="00301795">
            <w:pPr>
              <w:pStyle w:val="ListParagraph"/>
              <w:numPr>
                <w:ilvl w:val="0"/>
                <w:numId w:val="1"/>
              </w:numPr>
              <w:spacing w:after="0" w:line="240" w:lineRule="auto"/>
              <w:rPr>
                <w:rFonts w:ascii="Franklin Gothic Book" w:hAnsi="Franklin Gothic Book"/>
              </w:rPr>
            </w:pPr>
            <w:r w:rsidRPr="00F96C77">
              <w:rPr>
                <w:rFonts w:ascii="Franklin Gothic Book" w:hAnsi="Franklin Gothic Book"/>
              </w:rPr>
              <w:t>Describe the health and psychological problems of vulnerable children and adolescents who are immigrants, refugees, internally displaced, or orphans. Discuss the impact of victimizing activities such as trafficking, child labor, political conflict, and warfare.</w:t>
            </w:r>
          </w:p>
        </w:tc>
      </w:tr>
      <w:tr w:rsidR="00B12C0C" w:rsidRPr="00E37E9A" w14:paraId="3D2F4CE8" w14:textId="77777777" w:rsidTr="00AA1C5F">
        <w:tc>
          <w:tcPr>
            <w:tcW w:w="9350" w:type="dxa"/>
            <w:tcBorders>
              <w:bottom w:val="single" w:sz="4" w:space="0" w:color="auto"/>
            </w:tcBorders>
            <w:shd w:val="clear" w:color="auto" w:fill="3C8498"/>
          </w:tcPr>
          <w:p w14:paraId="4AE48E2E" w14:textId="77777777" w:rsidR="00B12C0C" w:rsidRPr="00301795" w:rsidRDefault="00B12C0C" w:rsidP="00301795">
            <w:pPr>
              <w:pStyle w:val="ListParagraph"/>
              <w:numPr>
                <w:ilvl w:val="0"/>
                <w:numId w:val="1"/>
              </w:numPr>
              <w:spacing w:after="0" w:line="240" w:lineRule="auto"/>
              <w:rPr>
                <w:rFonts w:ascii="Franklin Gothic Book" w:hAnsi="Franklin Gothic Book"/>
              </w:rPr>
            </w:pPr>
            <w:r w:rsidRPr="00301795">
              <w:rPr>
                <w:rFonts w:ascii="Franklin Gothic Book" w:hAnsi="Franklin Gothic Book"/>
              </w:rPr>
              <w:t>PRACTICE-BASED LEARNING AND IMPROVEMENT</w:t>
            </w:r>
          </w:p>
        </w:tc>
      </w:tr>
      <w:tr w:rsidR="00B12C0C" w:rsidRPr="00D77324" w14:paraId="378ED7BC" w14:textId="77777777" w:rsidTr="00AA1C5F">
        <w:tc>
          <w:tcPr>
            <w:tcW w:w="9350" w:type="dxa"/>
            <w:tcBorders>
              <w:bottom w:val="nil"/>
            </w:tcBorders>
          </w:tcPr>
          <w:p w14:paraId="5AA64416" w14:textId="77777777" w:rsidR="00B12C0C" w:rsidRPr="00301795" w:rsidRDefault="00B12C0C" w:rsidP="00301795">
            <w:pPr>
              <w:pStyle w:val="ListParagraph"/>
              <w:numPr>
                <w:ilvl w:val="0"/>
                <w:numId w:val="1"/>
              </w:numPr>
              <w:spacing w:after="0" w:line="240" w:lineRule="auto"/>
              <w:rPr>
                <w:rFonts w:ascii="Franklin Gothic Book" w:hAnsi="Franklin Gothic Book"/>
              </w:rPr>
            </w:pPr>
            <w:r w:rsidRPr="00301795">
              <w:rPr>
                <w:rFonts w:ascii="Franklin Gothic Book" w:hAnsi="Franklin Gothic Book"/>
              </w:rPr>
              <w:t>Locate, appraise, and assimilate evidence from scientific studies related to patients’ health problems [IV.A.5.c</w:t>
            </w:r>
            <w:proofErr w:type="gramStart"/>
            <w:r w:rsidRPr="00301795">
              <w:rPr>
                <w:rFonts w:ascii="Franklin Gothic Book" w:hAnsi="Franklin Gothic Book"/>
              </w:rPr>
              <w:t>).(</w:t>
            </w:r>
            <w:proofErr w:type="gramEnd"/>
            <w:r w:rsidRPr="00301795">
              <w:rPr>
                <w:rFonts w:ascii="Franklin Gothic Book" w:hAnsi="Franklin Gothic Book"/>
              </w:rPr>
              <w:t>6)]:</w:t>
            </w:r>
          </w:p>
        </w:tc>
      </w:tr>
      <w:tr w:rsidR="00B12C0C" w:rsidRPr="00D77324" w14:paraId="0B07412D" w14:textId="77777777" w:rsidTr="00AA1C5F">
        <w:tc>
          <w:tcPr>
            <w:tcW w:w="9350" w:type="dxa"/>
            <w:tcBorders>
              <w:top w:val="nil"/>
            </w:tcBorders>
          </w:tcPr>
          <w:p w14:paraId="7DF715AB" w14:textId="77777777" w:rsidR="00B12C0C" w:rsidRPr="0065319D" w:rsidRDefault="00B12C0C" w:rsidP="00301795">
            <w:pPr>
              <w:pStyle w:val="ListParagraph"/>
              <w:numPr>
                <w:ilvl w:val="0"/>
                <w:numId w:val="1"/>
              </w:numPr>
              <w:spacing w:after="0" w:line="240" w:lineRule="auto"/>
              <w:rPr>
                <w:rFonts w:ascii="Franklin Gothic Book" w:hAnsi="Franklin Gothic Book"/>
              </w:rPr>
            </w:pPr>
            <w:r w:rsidRPr="0065319D">
              <w:rPr>
                <w:rFonts w:ascii="Franklin Gothic Book" w:hAnsi="Franklin Gothic Book"/>
              </w:rPr>
              <w:t>Identify appropriate medical resources, including references and standardized guidelines (</w:t>
            </w:r>
            <w:proofErr w:type="spellStart"/>
            <w:r w:rsidRPr="0065319D">
              <w:rPr>
                <w:rFonts w:ascii="Franklin Gothic Book" w:hAnsi="Franklin Gothic Book"/>
              </w:rPr>
              <w:t>eg</w:t>
            </w:r>
            <w:proofErr w:type="spellEnd"/>
            <w:r w:rsidRPr="0065319D">
              <w:rPr>
                <w:rFonts w:ascii="Franklin Gothic Book" w:hAnsi="Franklin Gothic Book"/>
              </w:rPr>
              <w:t>, WHO/CDC/country-specific guidelines) for diagnosis and treatment of conditions common to resource-limited settings and adapt them to the individual needs of specific patients.</w:t>
            </w:r>
          </w:p>
        </w:tc>
      </w:tr>
    </w:tbl>
    <w:p w14:paraId="7195DFC8" w14:textId="77777777" w:rsidR="00B12C0C" w:rsidRDefault="00B12C0C"/>
    <w:sectPr w:rsidR="00B12C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A6A44" w14:textId="77777777" w:rsidR="00797A10" w:rsidRDefault="00797A10" w:rsidP="00B12C0C">
      <w:pPr>
        <w:spacing w:after="0" w:line="240" w:lineRule="auto"/>
      </w:pPr>
      <w:r>
        <w:separator/>
      </w:r>
    </w:p>
  </w:endnote>
  <w:endnote w:type="continuationSeparator" w:id="0">
    <w:p w14:paraId="77D26C53" w14:textId="77777777" w:rsidR="00797A10" w:rsidRDefault="00797A10" w:rsidP="00B1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11B5B" w14:textId="77777777" w:rsidR="00797A10" w:rsidRDefault="00797A10" w:rsidP="00B12C0C">
      <w:pPr>
        <w:spacing w:after="0" w:line="240" w:lineRule="auto"/>
      </w:pPr>
      <w:r>
        <w:separator/>
      </w:r>
    </w:p>
  </w:footnote>
  <w:footnote w:type="continuationSeparator" w:id="0">
    <w:p w14:paraId="7FB8D7E3" w14:textId="77777777" w:rsidR="00797A10" w:rsidRDefault="00797A10" w:rsidP="00B12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D9D5" w14:textId="59D6B531" w:rsidR="00B12C0C" w:rsidRDefault="00B12C0C" w:rsidP="00B12C0C">
    <w:pPr>
      <w:rPr>
        <w:rFonts w:ascii="Franklin Gothic Medium" w:eastAsiaTheme="minorEastAsia" w:hAnsi="Franklin Gothic Medium"/>
      </w:rPr>
    </w:pPr>
    <w:r w:rsidRPr="006454B0">
      <w:rPr>
        <w:rFonts w:ascii="Franklin Gothic Medium" w:eastAsiaTheme="minorEastAsia" w:hAnsi="Franklin Gothic Medium"/>
      </w:rPr>
      <w:t xml:space="preserve">Table 2: </w:t>
    </w:r>
    <w:r>
      <w:rPr>
        <w:rFonts w:ascii="Franklin Gothic Medium" w:eastAsiaTheme="minorEastAsia" w:hAnsi="Franklin Gothic Medium"/>
      </w:rPr>
      <w:t>Global Health Objectives for Tier 1 Learners (All Trainees) Linked to Established ACGME Competencies</w:t>
    </w:r>
  </w:p>
  <w:p w14:paraId="61B2C7C3" w14:textId="2613C35C" w:rsidR="00B12C0C" w:rsidRDefault="00301795" w:rsidP="00301795">
    <w:r w:rsidRPr="00301795">
      <w:rPr>
        <w:rFonts w:ascii="Franklin Gothic Book" w:eastAsiaTheme="minorEastAsia" w:hAnsi="Franklin Gothic Book"/>
      </w:rPr>
      <w:t xml:space="preserve">Please note that the content below represents a thought process of the author group </w:t>
    </w:r>
    <w:proofErr w:type="gramStart"/>
    <w:r w:rsidRPr="00301795">
      <w:rPr>
        <w:rFonts w:ascii="Franklin Gothic Book" w:eastAsiaTheme="minorEastAsia" w:hAnsi="Franklin Gothic Book"/>
      </w:rPr>
      <w:t>for the purpose of</w:t>
    </w:r>
    <w:proofErr w:type="gramEnd"/>
    <w:r w:rsidRPr="00301795">
      <w:rPr>
        <w:rFonts w:ascii="Franklin Gothic Book" w:eastAsiaTheme="minorEastAsia" w:hAnsi="Franklin Gothic Book"/>
      </w:rPr>
      <w:t xml:space="preserve"> this document, guided by the aforementioned literature, but has not yet undergone vetting by larger audiences and stakeholders. This is not meant to be a “one size fits all” approach for training programs; instead, objectives should be modified at each institution based on educational priorities and needs (both locally and with global partner training sites). Any suggestions for modifications to these objectives are welcome.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657"/>
    <w:multiLevelType w:val="hybridMultilevel"/>
    <w:tmpl w:val="FCB41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A5F8E"/>
    <w:multiLevelType w:val="hybridMultilevel"/>
    <w:tmpl w:val="9F2A9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243022"/>
    <w:multiLevelType w:val="hybridMultilevel"/>
    <w:tmpl w:val="8110A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0C"/>
    <w:rsid w:val="00301795"/>
    <w:rsid w:val="00797A10"/>
    <w:rsid w:val="00B12C0C"/>
    <w:rsid w:val="00CA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6A93"/>
  <w15:chartTrackingRefBased/>
  <w15:docId w15:val="{8AECC2C0-FABF-4038-A20D-866DFD06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C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0C"/>
    <w:pPr>
      <w:ind w:left="720"/>
      <w:contextualSpacing/>
    </w:pPr>
  </w:style>
  <w:style w:type="table" w:styleId="TableGrid">
    <w:name w:val="Table Grid"/>
    <w:basedOn w:val="TableNormal"/>
    <w:uiPriority w:val="59"/>
    <w:rsid w:val="00B1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2C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12C0C"/>
    <w:rPr>
      <w:rFonts w:ascii="Calibri" w:hAnsi="Calibri"/>
      <w:szCs w:val="21"/>
    </w:rPr>
  </w:style>
  <w:style w:type="paragraph" w:styleId="Header">
    <w:name w:val="header"/>
    <w:basedOn w:val="Normal"/>
    <w:link w:val="HeaderChar"/>
    <w:uiPriority w:val="99"/>
    <w:unhideWhenUsed/>
    <w:rsid w:val="00B12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0C"/>
  </w:style>
  <w:style w:type="paragraph" w:styleId="Footer">
    <w:name w:val="footer"/>
    <w:basedOn w:val="Normal"/>
    <w:link w:val="FooterChar"/>
    <w:uiPriority w:val="99"/>
    <w:unhideWhenUsed/>
    <w:rsid w:val="00B12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Pritchard</dc:creator>
  <cp:keywords/>
  <dc:description/>
  <cp:lastModifiedBy>Stephany Pritchard</cp:lastModifiedBy>
  <cp:revision>2</cp:revision>
  <dcterms:created xsi:type="dcterms:W3CDTF">2018-09-17T14:58:00Z</dcterms:created>
  <dcterms:modified xsi:type="dcterms:W3CDTF">2018-10-02T18:05:00Z</dcterms:modified>
</cp:coreProperties>
</file>